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2C" w:rsidRDefault="00153A2C" w:rsidP="00153A2C">
      <w:pPr>
        <w:rPr>
          <w:rFonts w:ascii="Arial" w:hAnsi="Arial" w:cs="Arial"/>
          <w:bCs/>
          <w:i/>
          <w:iCs/>
          <w:kern w:val="36"/>
        </w:rPr>
      </w:pPr>
      <w:r w:rsidRPr="00153A2C">
        <w:rPr>
          <w:rFonts w:ascii="Arial" w:hAnsi="Arial" w:cs="Arial"/>
          <w:bCs/>
          <w:i/>
          <w:iCs/>
          <w:kern w:val="36"/>
        </w:rPr>
        <w:t>Письмо ФНС России от 28.12.2024 N СД-4-3/14759@</w:t>
      </w:r>
    </w:p>
    <w:p w:rsidR="00153A2C" w:rsidRDefault="00153A2C" w:rsidP="00153A2C"/>
    <w:p w:rsidR="00153A2C" w:rsidRPr="00B654B9" w:rsidRDefault="00153A2C" w:rsidP="00153A2C">
      <w:pPr>
        <w:pStyle w:val="ConsPlusNormal"/>
        <w:jc w:val="both"/>
        <w:rPr>
          <w:sz w:val="24"/>
          <w:szCs w:val="24"/>
        </w:rPr>
      </w:pPr>
      <w:r w:rsidRPr="00B654B9">
        <w:rPr>
          <w:color w:val="000000"/>
          <w:sz w:val="24"/>
          <w:szCs w:val="24"/>
          <w:shd w:val="clear" w:color="auto" w:fill="FFFFFF"/>
        </w:rPr>
        <w:t>Ведомство</w:t>
      </w:r>
      <w:r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  <w:r w:rsidRPr="00B654B9">
        <w:rPr>
          <w:rFonts w:cs="Times New Roman"/>
          <w:sz w:val="24"/>
          <w:szCs w:val="24"/>
          <w:bdr w:val="none" w:sz="0" w:space="0" w:color="auto" w:frame="1"/>
          <w:shd w:val="clear" w:color="auto" w:fill="FFFFFF"/>
        </w:rPr>
        <w:t>направило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B654B9">
        <w:rPr>
          <w:color w:val="000000"/>
          <w:sz w:val="24"/>
          <w:szCs w:val="24"/>
          <w:shd w:val="clear" w:color="auto" w:fill="FFFFFF"/>
        </w:rPr>
        <w:t>контрольные соотношения, в которых учтены налоговые поправки (</w:t>
      </w:r>
      <w:r w:rsidRPr="00B654B9">
        <w:rPr>
          <w:rFonts w:cs="Times New Roman"/>
          <w:sz w:val="24"/>
          <w:szCs w:val="24"/>
          <w:bdr w:val="none" w:sz="0" w:space="0" w:color="auto" w:frame="1"/>
          <w:shd w:val="clear" w:color="auto" w:fill="FFFFFF"/>
        </w:rPr>
        <w:t>порог</w:t>
      </w:r>
      <w:r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  <w:r w:rsidRPr="00B654B9">
        <w:rPr>
          <w:color w:val="000000"/>
          <w:sz w:val="24"/>
          <w:szCs w:val="24"/>
          <w:shd w:val="clear" w:color="auto" w:fill="FFFFFF"/>
        </w:rPr>
        <w:t xml:space="preserve">доходов для применения УСН в размере 450 </w:t>
      </w:r>
      <w:proofErr w:type="spellStart"/>
      <w:proofErr w:type="gramStart"/>
      <w:r w:rsidRPr="00B654B9">
        <w:rPr>
          <w:color w:val="000000"/>
          <w:sz w:val="24"/>
          <w:szCs w:val="24"/>
          <w:shd w:val="clear" w:color="auto" w:fill="FFFFFF"/>
        </w:rPr>
        <w:t>млн</w:t>
      </w:r>
      <w:proofErr w:type="spellEnd"/>
      <w:proofErr w:type="gramEnd"/>
      <w:r w:rsidRPr="00B654B9">
        <w:rPr>
          <w:color w:val="000000"/>
          <w:sz w:val="24"/>
          <w:szCs w:val="24"/>
          <w:shd w:val="clear" w:color="auto" w:fill="FFFFFF"/>
        </w:rPr>
        <w:t xml:space="preserve"> руб. и др.). Соотношения пригодятся как при подаче декларации</w:t>
      </w:r>
      <w:r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  <w:r w:rsidRPr="00B654B9">
        <w:rPr>
          <w:rFonts w:cs="Times New Roman"/>
          <w:sz w:val="24"/>
          <w:szCs w:val="24"/>
          <w:bdr w:val="none" w:sz="0" w:space="0" w:color="auto" w:frame="1"/>
          <w:shd w:val="clear" w:color="auto" w:fill="FFFFFF"/>
        </w:rPr>
        <w:t>за 2024 г</w:t>
      </w:r>
      <w:r>
        <w:rPr>
          <w:rFonts w:cs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B654B9">
        <w:rPr>
          <w:color w:val="000000"/>
          <w:sz w:val="24"/>
          <w:szCs w:val="24"/>
          <w:shd w:val="clear" w:color="auto" w:fill="FFFFFF"/>
        </w:rPr>
        <w:t>, так и в последующие отчетные кампании</w:t>
      </w:r>
      <w:r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  <w:r w:rsidRPr="00B654B9">
        <w:rPr>
          <w:rFonts w:cs="Times New Roman"/>
          <w:sz w:val="24"/>
          <w:szCs w:val="24"/>
          <w:bdr w:val="none" w:sz="0" w:space="0" w:color="auto" w:frame="1"/>
          <w:shd w:val="clear" w:color="auto" w:fill="FFFFFF"/>
        </w:rPr>
        <w:t>с 2025 г</w:t>
      </w:r>
      <w:r>
        <w:rPr>
          <w:rFonts w:cs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B654B9">
        <w:rPr>
          <w:color w:val="000000"/>
          <w:sz w:val="24"/>
          <w:szCs w:val="24"/>
          <w:shd w:val="clear" w:color="auto" w:fill="FFFFFF"/>
        </w:rPr>
        <w:t xml:space="preserve"> </w:t>
      </w:r>
      <w:r w:rsidRPr="00B654B9">
        <w:rPr>
          <w:sz w:val="24"/>
          <w:szCs w:val="24"/>
        </w:rPr>
        <w:t>Напоминаем, что сдать декларацию за 2024 г</w:t>
      </w:r>
      <w:r>
        <w:rPr>
          <w:sz w:val="24"/>
          <w:szCs w:val="24"/>
        </w:rPr>
        <w:t>.</w:t>
      </w:r>
      <w:r w:rsidRPr="00B654B9">
        <w:rPr>
          <w:sz w:val="24"/>
          <w:szCs w:val="24"/>
        </w:rPr>
        <w:t xml:space="preserve"> нужно не</w:t>
      </w:r>
      <w:r>
        <w:rPr>
          <w:sz w:val="24"/>
          <w:szCs w:val="24"/>
        </w:rPr>
        <w:t> </w:t>
      </w:r>
      <w:r w:rsidRPr="00B654B9">
        <w:rPr>
          <w:sz w:val="24"/>
          <w:szCs w:val="24"/>
        </w:rPr>
        <w:t>позднее 25 марта 2025 г.</w:t>
      </w:r>
    </w:p>
    <w:p w:rsidR="00586927" w:rsidRDefault="00586927"/>
    <w:p w:rsidR="00153A2C" w:rsidRDefault="00153A2C"/>
    <w:p w:rsidR="00153A2C" w:rsidRDefault="00153A2C" w:rsidP="00153A2C">
      <w:pPr>
        <w:rPr>
          <w:rFonts w:ascii="Arial" w:hAnsi="Arial" w:cs="Arial"/>
          <w:i/>
          <w:iCs/>
        </w:rPr>
      </w:pPr>
      <w:r w:rsidRPr="00153A2C">
        <w:rPr>
          <w:rFonts w:ascii="Arial" w:hAnsi="Arial" w:cs="Arial"/>
          <w:i/>
          <w:iCs/>
        </w:rPr>
        <w:t>Приказ ФНС России от 10.12.2024 N ЕД-7-14/1119@</w:t>
      </w:r>
    </w:p>
    <w:p w:rsidR="00153A2C" w:rsidRDefault="00153A2C" w:rsidP="00153A2C"/>
    <w:p w:rsidR="00153A2C" w:rsidRPr="00147BD8" w:rsidRDefault="00153A2C" w:rsidP="00153A2C">
      <w:pPr>
        <w:pStyle w:val="ConsPlusNormal"/>
        <w:jc w:val="both"/>
        <w:rPr>
          <w:iCs/>
          <w:sz w:val="24"/>
          <w:szCs w:val="24"/>
        </w:rPr>
      </w:pPr>
      <w:r w:rsidRPr="00147BD8">
        <w:rPr>
          <w:iCs/>
          <w:sz w:val="24"/>
          <w:szCs w:val="24"/>
        </w:rPr>
        <w:t>Сократили перечень оснований для проверки достоверности сведений, содержащихся в ЕГРЮЛ. Из перечня исключен случай сообщения адреса, который является адресом пяти и более юридических лиц. Приказ вступает в силу 14.03.2025.</w:t>
      </w:r>
    </w:p>
    <w:p w:rsidR="00153A2C" w:rsidRDefault="00153A2C"/>
    <w:sectPr w:rsidR="00153A2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3A2C"/>
    <w:rsid w:val="00011A8F"/>
    <w:rsid w:val="00153A2C"/>
    <w:rsid w:val="002A41D3"/>
    <w:rsid w:val="003F2B6D"/>
    <w:rsid w:val="004236C3"/>
    <w:rsid w:val="00586927"/>
    <w:rsid w:val="00613166"/>
    <w:rsid w:val="008A6EF4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A2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3A2C"/>
    <w:rPr>
      <w:color w:val="0000FF"/>
      <w:u w:val="single"/>
    </w:rPr>
  </w:style>
  <w:style w:type="paragraph" w:customStyle="1" w:styleId="ConsPlusNormal">
    <w:name w:val="ConsPlusNormal"/>
    <w:rsid w:val="00153A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53A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2025-03-07T03:58:00Z</dcterms:created>
  <dcterms:modified xsi:type="dcterms:W3CDTF">2025-03-07T03:58:00Z</dcterms:modified>
</cp:coreProperties>
</file>